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28"/>
        <w:gridCol w:w="5180"/>
        <w:gridCol w:w="174"/>
        <w:gridCol w:w="98"/>
        <w:gridCol w:w="407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D9B7166" w:rsidR="00093CA9" w:rsidRDefault="002E1530"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C4FC6AF" w:rsidR="00093CA9" w:rsidRDefault="00EE5783" w:rsidP="00093CA9">
            <w:r w:rsidRPr="00EE5783">
              <w:t>Green Credit Rules,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B9BFE56" w:rsidR="00093CA9" w:rsidRDefault="00E64EAE" w:rsidP="00093CA9">
            <w:hyperlink r:id="rId17" w:history="1">
              <w:r w:rsidRPr="006551E2">
                <w:rPr>
                  <w:rStyle w:val="Hyperlink"/>
                </w:rPr>
                <w:t>https://web.archive.org/web/20250708103753/https://egazette.gov.in/WriteReadData/2023/249377.pdf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50F3FA7" w:rsidR="00093CA9" w:rsidRDefault="00EE5783"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0C9E416"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2C8231A" w14:textId="77777777" w:rsidR="00605A34" w:rsidRPr="00605A34" w:rsidRDefault="00605A34" w:rsidP="00605A34">
            <w:pPr>
              <w:keepNext/>
              <w:spacing w:before="0" w:after="0" w:line="276" w:lineRule="auto"/>
              <w:jc w:val="both"/>
              <w:rPr>
                <w:lang w:val="en-IN"/>
              </w:rPr>
            </w:pPr>
            <w:r w:rsidRPr="00605A34">
              <w:rPr>
                <w:lang w:val="en-IN"/>
              </w:rPr>
              <w:t>The Green Credit Programme Rules, 2023 (“GCP Rules”) establish a market-based framework under the Environment (Protection) Act, 1986, for issuing tradable Green Credits to individuals or entities undertaking specified environmentally beneficial activities. The policy tool incentivises voluntary environmental action across multiple sectors, including afforestation, water conservation, sustainable agriculture, waste management, air pollution reduction, mangrove restoration, ecolabelling, and sustainable infrastructure.</w:t>
            </w:r>
          </w:p>
          <w:p w14:paraId="02F78905" w14:textId="77777777" w:rsidR="00605A34" w:rsidRPr="00605A34" w:rsidRDefault="00605A34" w:rsidP="00605A34">
            <w:pPr>
              <w:keepNext/>
              <w:spacing w:before="0" w:after="0" w:line="276" w:lineRule="auto"/>
              <w:jc w:val="both"/>
              <w:rPr>
                <w:lang w:val="en-IN"/>
              </w:rPr>
            </w:pPr>
            <w:r w:rsidRPr="00605A34">
              <w:rPr>
                <w:lang w:val="en-IN"/>
              </w:rPr>
              <w:t>The Green Credit may be (i) traded on approved domestic platforms, or (ii) used towards corporate sustainability disclosures, including ESG and CSR-related obligations, as permitted under applicable frameworks.</w:t>
            </w:r>
          </w:p>
          <w:p w14:paraId="6D503FEF" w14:textId="77777777" w:rsidR="00605A34" w:rsidRPr="00605A34" w:rsidRDefault="00605A34" w:rsidP="00605A34">
            <w:pPr>
              <w:keepNext/>
              <w:spacing w:before="0" w:after="0" w:line="276" w:lineRule="auto"/>
              <w:jc w:val="both"/>
              <w:rPr>
                <w:lang w:val="en-IN"/>
              </w:rPr>
            </w:pPr>
            <w:r w:rsidRPr="00605A34">
              <w:rPr>
                <w:lang w:val="en-IN"/>
              </w:rPr>
              <w:t>The objective of the GCP Rules is to operationalise environmental sustainability by:</w:t>
            </w:r>
          </w:p>
          <w:p w14:paraId="3AB199BB" w14:textId="77777777" w:rsidR="00605A34" w:rsidRPr="00605A34" w:rsidRDefault="00605A34" w:rsidP="00605A34">
            <w:pPr>
              <w:keepNext/>
              <w:numPr>
                <w:ilvl w:val="0"/>
                <w:numId w:val="54"/>
              </w:numPr>
              <w:spacing w:before="0" w:after="0" w:line="276" w:lineRule="auto"/>
              <w:jc w:val="both"/>
              <w:rPr>
                <w:lang w:val="en-IN"/>
              </w:rPr>
            </w:pPr>
            <w:r w:rsidRPr="00605A34">
              <w:rPr>
                <w:lang w:val="en-IN"/>
              </w:rPr>
              <w:t>Creating an incentive-based mechanism for pro-environmental action;</w:t>
            </w:r>
          </w:p>
          <w:p w14:paraId="4A6366B0" w14:textId="77777777" w:rsidR="00605A34" w:rsidRPr="00605A34" w:rsidRDefault="00605A34" w:rsidP="00605A34">
            <w:pPr>
              <w:keepNext/>
              <w:numPr>
                <w:ilvl w:val="0"/>
                <w:numId w:val="54"/>
              </w:numPr>
              <w:spacing w:before="0" w:after="0" w:line="276" w:lineRule="auto"/>
              <w:jc w:val="both"/>
              <w:rPr>
                <w:lang w:val="en-IN"/>
              </w:rPr>
            </w:pPr>
            <w:r w:rsidRPr="00605A34">
              <w:rPr>
                <w:lang w:val="en-IN"/>
              </w:rPr>
              <w:t>Establishing a tradable green credit marketplace; and</w:t>
            </w:r>
          </w:p>
          <w:p w14:paraId="626739EA" w14:textId="77777777" w:rsidR="00605A34" w:rsidRPr="00605A34" w:rsidRDefault="00605A34" w:rsidP="00605A34">
            <w:pPr>
              <w:keepNext/>
              <w:numPr>
                <w:ilvl w:val="0"/>
                <w:numId w:val="54"/>
              </w:numPr>
              <w:spacing w:before="0" w:after="0" w:line="276" w:lineRule="auto"/>
              <w:jc w:val="both"/>
              <w:rPr>
                <w:lang w:val="en-IN"/>
              </w:rPr>
            </w:pPr>
            <w:r w:rsidRPr="00605A34">
              <w:rPr>
                <w:lang w:val="en-IN"/>
              </w:rPr>
              <w:t>Engaging public and private stakeholders in climate-positive behavioural change.</w:t>
            </w:r>
          </w:p>
          <w:p w14:paraId="2D25A6E4" w14:textId="77777777" w:rsidR="00605A34" w:rsidRDefault="00605A34" w:rsidP="00605A34">
            <w:pPr>
              <w:keepNext/>
              <w:spacing w:before="0" w:after="0" w:line="276" w:lineRule="auto"/>
              <w:jc w:val="both"/>
              <w:rPr>
                <w:lang w:val="en-IN"/>
              </w:rPr>
            </w:pPr>
            <w:r w:rsidRPr="00605A34">
              <w:rPr>
                <w:lang w:val="en-IN"/>
              </w:rPr>
              <w:t>The GCP Rules are supported by sector-specific methodologies, such as the Tree Plantation Methodology (February 2024), notified by the Ministry of Environment, Forest and Climate Change.</w:t>
            </w:r>
          </w:p>
          <w:p w14:paraId="44843C84" w14:textId="77777777" w:rsidR="00093CA9" w:rsidRDefault="00093CA9" w:rsidP="00C92B10">
            <w:pPr>
              <w:keepNext/>
              <w:spacing w:before="0" w:after="0" w:line="276" w:lineRule="auto"/>
              <w:jc w:val="both"/>
              <w:rPr>
                <w:lang w:val="en-IN"/>
              </w:rPr>
            </w:pPr>
          </w:p>
          <w:p w14:paraId="18257824" w14:textId="7F5A5BB9" w:rsidR="00C92B10" w:rsidRPr="00605A34" w:rsidRDefault="00E41DA5" w:rsidP="00C92B10">
            <w:pPr>
              <w:keepNext/>
              <w:spacing w:before="0" w:after="0" w:line="276" w:lineRule="auto"/>
              <w:jc w:val="both"/>
              <w:rPr>
                <w:lang w:val="en-IN"/>
              </w:rPr>
            </w:pPr>
            <w:hyperlink r:id="rId18" w:history="1">
              <w:r w:rsidRPr="0060492F">
                <w:rPr>
                  <w:rStyle w:val="Hyperlink"/>
                  <w:lang w:val="en-IN"/>
                </w:rPr>
                <w:t>https://web.archive.org/web/20250708123914/https://www.moefcc-gcp.in/about/notification</w:t>
              </w:r>
            </w:hyperlink>
            <w:r>
              <w:rPr>
                <w:lang w:val="en-IN"/>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3DB2A7B" w:rsidR="00093CA9" w:rsidRDefault="0065600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DAD0928"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6029899" w:rsidR="00093CA9" w:rsidRPr="00173D7C" w:rsidRDefault="0065600D"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122D4D9" w:rsidR="00093CA9" w:rsidRDefault="0065600D"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C998B59" w:rsidR="00093CA9" w:rsidRPr="006B7B0D" w:rsidRDefault="00605A34" w:rsidP="00093CA9">
            <w:r w:rsidRPr="00605A34">
              <w:t>Administrator (Indian Council of Forestry Research and Education)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599D60F" w:rsidR="00093CA9" w:rsidRPr="006B7B0D" w:rsidRDefault="00173D1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6EFF846" w:rsidR="00093CA9" w:rsidRPr="006B7B0D" w:rsidRDefault="00605A34" w:rsidP="00093CA9">
            <w:r w:rsidRPr="00605A34">
              <w:t>Other Designated Agencies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20F70E98" w:rsidR="00093CA9" w:rsidRPr="006B7B0D" w:rsidRDefault="002A2EF3"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EFEC977" w:rsidR="00093CA9" w:rsidRPr="006B7B0D" w:rsidRDefault="00605A34" w:rsidP="00093CA9">
            <w:r w:rsidRPr="00605A34">
              <w:t>Steering Committee</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3B491D8A" w:rsidR="00093CA9" w:rsidRPr="006B7B0D" w:rsidRDefault="002A2EF3" w:rsidP="00093CA9">
            <w: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0F54A0C9" w14:textId="720529AD" w:rsidR="00605A34" w:rsidRPr="00605A34" w:rsidRDefault="00605A34" w:rsidP="00605A34">
            <w:pPr>
              <w:jc w:val="both"/>
              <w:rPr>
                <w:lang w:val="en-IN"/>
              </w:rPr>
            </w:pPr>
            <w:r w:rsidRPr="00605A34">
              <w:rPr>
                <w:lang w:val="en-IN"/>
              </w:rPr>
              <w:t>Under the GCP Rules, the Indian Council of Forestry Research and Education (“ICFRE”) is designated as the Administrator responsible for the implementation and governance of the programme. As per Rule 4, ICFRE is mandated to:</w:t>
            </w:r>
          </w:p>
          <w:p w14:paraId="36AB57FC" w14:textId="77777777" w:rsidR="00605A34" w:rsidRPr="00605A34" w:rsidRDefault="00605A34" w:rsidP="00605A34">
            <w:pPr>
              <w:pStyle w:val="ListParagraph"/>
              <w:numPr>
                <w:ilvl w:val="0"/>
                <w:numId w:val="55"/>
              </w:numPr>
              <w:jc w:val="both"/>
              <w:rPr>
                <w:lang w:val="en-IN"/>
              </w:rPr>
            </w:pPr>
            <w:r w:rsidRPr="00605A34">
              <w:rPr>
                <w:lang w:val="en-IN"/>
              </w:rPr>
              <w:lastRenderedPageBreak/>
              <w:t>develop operational guidelines, methodologies, and procedures for eligible activities;</w:t>
            </w:r>
          </w:p>
          <w:p w14:paraId="53195073" w14:textId="77777777" w:rsidR="00605A34" w:rsidRPr="00605A34" w:rsidRDefault="00605A34" w:rsidP="00605A34">
            <w:pPr>
              <w:pStyle w:val="ListParagraph"/>
              <w:numPr>
                <w:ilvl w:val="0"/>
                <w:numId w:val="55"/>
              </w:numPr>
              <w:jc w:val="both"/>
              <w:rPr>
                <w:lang w:val="en-IN"/>
              </w:rPr>
            </w:pPr>
            <w:r w:rsidRPr="00605A34">
              <w:rPr>
                <w:lang w:val="en-IN"/>
              </w:rPr>
              <w:t>establish and manage the Green Credit Registry and Trading Platform; and</w:t>
            </w:r>
          </w:p>
          <w:p w14:paraId="0ADAF32D" w14:textId="77777777" w:rsidR="00605A34" w:rsidRPr="00605A34" w:rsidRDefault="00605A34" w:rsidP="00605A34">
            <w:pPr>
              <w:pStyle w:val="ListParagraph"/>
              <w:numPr>
                <w:ilvl w:val="0"/>
                <w:numId w:val="55"/>
              </w:numPr>
              <w:jc w:val="both"/>
              <w:rPr>
                <w:lang w:val="en-IN"/>
              </w:rPr>
            </w:pPr>
            <w:r w:rsidRPr="00605A34">
              <w:rPr>
                <w:lang w:val="en-IN"/>
              </w:rPr>
              <w:t>ensure procedural compliance and transparency in the issuance and trading of Green Credits.</w:t>
            </w:r>
          </w:p>
          <w:p w14:paraId="4F93E2D2" w14:textId="77777777" w:rsidR="00605A34" w:rsidRPr="00605A34" w:rsidRDefault="00605A34" w:rsidP="00605A34">
            <w:pPr>
              <w:jc w:val="both"/>
              <w:rPr>
                <w:lang w:val="en-IN"/>
              </w:rPr>
            </w:pPr>
            <w:r w:rsidRPr="00605A34">
              <w:rPr>
                <w:lang w:val="en-IN"/>
              </w:rPr>
              <w:t>ICFRE is also authorised to take preventive or corrective action in the event of non-compliance, fraud, or market misconduct, and to protect the interests of programme participants. These functions indicate a centralised institutional framework for administration and oversight.</w:t>
            </w:r>
          </w:p>
          <w:p w14:paraId="545C8A86" w14:textId="77777777" w:rsidR="00605A34" w:rsidRPr="00605A34" w:rsidRDefault="00605A34" w:rsidP="00605A34">
            <w:pPr>
              <w:jc w:val="both"/>
              <w:rPr>
                <w:lang w:val="en-IN"/>
              </w:rPr>
            </w:pPr>
            <w:r w:rsidRPr="00605A34">
              <w:rPr>
                <w:lang w:val="en-IN"/>
              </w:rPr>
              <w:t>In addition, the GCP Rules provide for Designated Agencies, appointed by ICFRE, to undertake verification of eligible activities, submit verification reports, and file annual returns (Rule 6). These agencies function in a technical and administrative capacity and are subject to the supervision and directions of ICFRE. They do not possess independent enforcement authority.</w:t>
            </w:r>
          </w:p>
          <w:p w14:paraId="42D06D03" w14:textId="5E0C8EF4" w:rsidR="00DB471F" w:rsidRPr="00605A34" w:rsidRDefault="00605A34" w:rsidP="00605A34">
            <w:pPr>
              <w:jc w:val="both"/>
              <w:rPr>
                <w:lang w:val="en-IN"/>
              </w:rPr>
            </w:pPr>
            <w:r w:rsidRPr="00605A34">
              <w:rPr>
                <w:lang w:val="en-IN"/>
              </w:rPr>
              <w:t>Further, the GCP Rules establish a Steering Committee chaired by the Secretary, Ministry of Environment, Forest and Climate Change. Its functions include: monitoring implementation, recommending sectors and activities, framing guidelines, and reviewing audit mechanisms (Rule 5). The Steering Committee holds strategic and recommendatory powers but does not have direct enforcement responsibilities.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89F4176" w:rsidR="00093CA9" w:rsidRDefault="007F3F5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D28F156" w:rsidR="00093CA9" w:rsidRPr="008017F9" w:rsidRDefault="007F0E0E" w:rsidP="007F0E0E">
            <w:pPr>
              <w:jc w:val="both"/>
              <w:rPr>
                <w:color w:val="000000" w:themeColor="text1"/>
              </w:rPr>
            </w:pPr>
            <w:r w:rsidRPr="007F0E0E">
              <w:rPr>
                <w:color w:val="000000" w:themeColor="text1"/>
              </w:rPr>
              <w:t>The GCP Rules establish multiple monitoring mechanisms to support effective implementation. The ICFRE, as Administrator, is required to formulate guidelines and procedures for programme implementation [Section 7(3)], including development of electronic platforms for registration, evaluation, verification, and issuance of Green Credits [Section 6(3)]. A Steering Committee, constituted by the Central Government, is tasked with overseeing implementation, conducting periodic reviews, and submitting recommendations to the Government [Section 8(1) and 8(3)]. Designated Agencies are required to submit annual returns to ICFRE, ensuring ongoing accountability and operational transparency [Section 13(3)].</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05A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05A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05A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 xml:space="preserve">Domain 4: </w:t>
      </w:r>
      <w:r w:rsidRPr="00047077">
        <w:t>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64449877" w:rsidR="00D4323A" w:rsidRPr="00CF2E7C" w:rsidRDefault="008A0CF2"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462A960E" w:rsidR="00D4323A" w:rsidRPr="00CF2E7C" w:rsidRDefault="008A0CF2"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117388E5" w:rsidR="00D4323A" w:rsidRPr="00CF2E7C" w:rsidRDefault="00D4323A" w:rsidP="00CF2E7C">
            <w:pPr>
              <w:rPr>
                <w:rFonts w:ascii="Calibri" w:hAnsi="Calibri" w:cs="Calibri"/>
              </w:rPr>
            </w:pPr>
          </w:p>
        </w:tc>
        <w:tc>
          <w:tcPr>
            <w:tcW w:w="1723" w:type="dxa"/>
            <w:vAlign w:val="center"/>
          </w:tcPr>
          <w:p w14:paraId="0BD0C46F" w14:textId="32B66A5F" w:rsidR="00D4323A" w:rsidRPr="00CF2E7C" w:rsidRDefault="007F0E0E"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46D37BEB" w:rsidR="00D4323A" w:rsidRPr="00CF2E7C" w:rsidRDefault="008A0CF2"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3FA47405" w:rsidR="00D4323A" w:rsidRPr="00CF2E7C" w:rsidRDefault="008A0CF2"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6A3B4721" w:rsidR="00D4323A" w:rsidRPr="00CF2E7C" w:rsidRDefault="008A0CF2"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13B58BFC" w:rsidR="00D4323A" w:rsidRPr="00CF2E7C" w:rsidRDefault="00D4323A" w:rsidP="00CF2E7C">
            <w:pPr>
              <w:rPr>
                <w:rFonts w:ascii="Calibri" w:hAnsi="Calibri" w:cs="Calibri"/>
              </w:rPr>
            </w:pPr>
          </w:p>
        </w:tc>
        <w:tc>
          <w:tcPr>
            <w:tcW w:w="1723" w:type="dxa"/>
            <w:vAlign w:val="center"/>
          </w:tcPr>
          <w:p w14:paraId="51B18F60" w14:textId="2FFC0282" w:rsidR="00D4323A" w:rsidRPr="00CF2E7C" w:rsidRDefault="007F0E0E"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C91520E" w:rsidR="00D4323A" w:rsidRPr="00CF2E7C" w:rsidRDefault="008A0CF2" w:rsidP="00CF2E7C">
            <w:pPr>
              <w:rPr>
                <w:rFonts w:ascii="Calibri" w:hAnsi="Calibri" w:cs="Calibri"/>
              </w:rPr>
            </w:pPr>
            <w:r>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1D9B6AC0" w:rsidR="00D4323A" w:rsidRPr="00CF2E7C" w:rsidRDefault="008A0CF2" w:rsidP="00CF2E7C">
            <w:pPr>
              <w:rPr>
                <w:rFonts w:ascii="Calibri" w:hAnsi="Calibri" w:cs="Calibri"/>
              </w:rPr>
            </w:pPr>
            <w:r>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64966B88" w:rsidR="00D4323A" w:rsidRPr="00CF2E7C" w:rsidRDefault="008A0CF2" w:rsidP="00CF2E7C">
            <w:pPr>
              <w:rPr>
                <w:rFonts w:ascii="Calibri" w:hAnsi="Calibri" w:cs="Calibri"/>
              </w:rPr>
            </w:pPr>
            <w:r>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535906B3" w:rsidR="00D4323A" w:rsidRPr="00CF2E7C" w:rsidRDefault="00D4323A" w:rsidP="00CF2E7C">
            <w:pPr>
              <w:rPr>
                <w:rFonts w:ascii="Calibri" w:hAnsi="Calibri" w:cs="Calibri"/>
              </w:rPr>
            </w:pPr>
          </w:p>
        </w:tc>
        <w:tc>
          <w:tcPr>
            <w:tcW w:w="1723" w:type="dxa"/>
            <w:vAlign w:val="center"/>
          </w:tcPr>
          <w:p w14:paraId="7DC8E64E" w14:textId="16965E12" w:rsidR="00D4323A" w:rsidRPr="00CF2E7C" w:rsidRDefault="007F0E0E"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57485A76" w:rsidR="00D4323A" w:rsidRPr="00CF2E7C" w:rsidRDefault="008A0CF2"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lastRenderedPageBreak/>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F829E96"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B17923C" w:rsidR="00092534" w:rsidRPr="00CF2E7C" w:rsidRDefault="00092534" w:rsidP="00CF2E7C">
            <w:pPr>
              <w:rPr>
                <w:rFonts w:ascii="Calibri" w:hAnsi="Calibri" w:cs="Calibri"/>
              </w:rPr>
            </w:pPr>
          </w:p>
        </w:tc>
        <w:tc>
          <w:tcPr>
            <w:tcW w:w="1723" w:type="dxa"/>
            <w:vAlign w:val="center"/>
          </w:tcPr>
          <w:p w14:paraId="25298912" w14:textId="2A2E68DB"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A5893CA" w:rsidR="00092534" w:rsidRPr="00CF2E7C" w:rsidRDefault="00092534" w:rsidP="00CF2E7C">
            <w:pPr>
              <w:rPr>
                <w:rFonts w:ascii="Calibri" w:hAnsi="Calibri" w:cs="Calibri"/>
              </w:rPr>
            </w:pPr>
          </w:p>
        </w:tc>
        <w:tc>
          <w:tcPr>
            <w:tcW w:w="1723" w:type="dxa"/>
            <w:vAlign w:val="center"/>
          </w:tcPr>
          <w:p w14:paraId="63004DE8" w14:textId="517956ED"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44EAECEC" w:rsidR="00092534" w:rsidRPr="00CF2E7C" w:rsidRDefault="00092534" w:rsidP="00CF2E7C">
            <w:pPr>
              <w:rPr>
                <w:rFonts w:ascii="Calibri" w:hAnsi="Calibri" w:cs="Calibri"/>
              </w:rPr>
            </w:pPr>
          </w:p>
        </w:tc>
        <w:tc>
          <w:tcPr>
            <w:tcW w:w="1723" w:type="dxa"/>
            <w:vAlign w:val="center"/>
          </w:tcPr>
          <w:p w14:paraId="7BA5D524" w14:textId="370892DF"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10E32EE6" w:rsidR="00092534" w:rsidRPr="00CF2E7C" w:rsidRDefault="00092534" w:rsidP="00CF2E7C">
            <w:pPr>
              <w:rPr>
                <w:rFonts w:ascii="Calibri" w:hAnsi="Calibri" w:cs="Calibri"/>
              </w:rPr>
            </w:pPr>
          </w:p>
        </w:tc>
        <w:tc>
          <w:tcPr>
            <w:tcW w:w="1723" w:type="dxa"/>
            <w:vAlign w:val="center"/>
          </w:tcPr>
          <w:p w14:paraId="4E810E0F" w14:textId="5EF74782"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4F7F1F8A"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54E9890F" w:rsidR="00092534" w:rsidRPr="00CF2E7C" w:rsidRDefault="001D4694"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3B2ECE7F" w:rsidR="00092534" w:rsidRPr="00CF2E7C" w:rsidRDefault="001D4694"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3CD5CB68" w:rsidR="00092534" w:rsidRPr="00CF2E7C" w:rsidRDefault="001D4694"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3EBABB48" w:rsidR="00092534" w:rsidRPr="00CF2E7C" w:rsidRDefault="001D4694"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21BFCF0C" w:rsidR="00092534" w:rsidRPr="00CF2E7C" w:rsidRDefault="001D4694"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13A1E96B" w:rsidR="00092534" w:rsidRPr="00CF2E7C" w:rsidRDefault="001D4694" w:rsidP="00CF2E7C">
            <w:pPr>
              <w:rPr>
                <w:rFonts w:ascii="Calibri" w:hAnsi="Calibri" w:cs="Calibri"/>
              </w:rPr>
            </w:pPr>
            <w:r>
              <w:rPr>
                <w:rFonts w:ascii="Calibri" w:hAnsi="Calibri" w:cs="Calibri"/>
              </w:rPr>
              <w:t>X</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lastRenderedPageBreak/>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DEB5A0" w:rsidR="00092534" w:rsidRPr="00CF2E7C" w:rsidRDefault="001D4694"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3CDBFB77" w:rsidR="00092534" w:rsidRPr="00CF2E7C" w:rsidRDefault="001D4694"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04068E38" w:rsidR="00092534" w:rsidRPr="00CF2E7C" w:rsidRDefault="001D4694"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11F18A42" w:rsidR="00092534" w:rsidRPr="00CF2E7C" w:rsidRDefault="001D4694"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42D35632" w:rsidR="00092534" w:rsidRPr="00CF2E7C" w:rsidRDefault="001D4694"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64EED87E" w:rsidR="00092534" w:rsidRPr="00CF2E7C" w:rsidRDefault="001D4694" w:rsidP="00CF2E7C">
            <w:pPr>
              <w:rPr>
                <w:rFonts w:ascii="Calibri" w:hAnsi="Calibri" w:cs="Calibri"/>
              </w:rPr>
            </w:pPr>
            <w:r>
              <w:rPr>
                <w:rFonts w:ascii="Calibri" w:hAnsi="Calibri" w:cs="Calibri"/>
              </w:rPr>
              <w:t>X</w:t>
            </w: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15406809" w:rsidR="00092534" w:rsidRPr="00CF2E7C" w:rsidRDefault="001D4694"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14ED5B2" w:rsidR="00092534" w:rsidRPr="00CF2E7C" w:rsidRDefault="001D4694"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4E3C1938" w:rsidR="00092534" w:rsidRPr="00CF2E7C" w:rsidRDefault="001D4694"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4AA27127" w:rsidR="00092534" w:rsidRPr="00CF2E7C" w:rsidRDefault="001D4694"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6351432C" w:rsidR="00092534" w:rsidRPr="00CF2E7C" w:rsidRDefault="001D4694"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1E416B40" w:rsidR="00092534" w:rsidRPr="00CF2E7C" w:rsidRDefault="006F15F9"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46B26977" w:rsidR="00092534" w:rsidRPr="00CF2E7C" w:rsidRDefault="006F15F9" w:rsidP="00CF2E7C">
            <w:pPr>
              <w:rPr>
                <w:rFonts w:ascii="Calibri" w:hAnsi="Calibri" w:cs="Calibri"/>
              </w:rPr>
            </w:pPr>
            <w:r>
              <w:rPr>
                <w:rFonts w:ascii="Calibri" w:hAnsi="Calibri" w:cs="Calibri"/>
              </w:rPr>
              <w:t>X</w:t>
            </w: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056A5446" w:rsidR="00092534" w:rsidRPr="00CF2E7C" w:rsidRDefault="006F15F9"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6D9085A4" w:rsidR="00092534" w:rsidRPr="00CF2E7C" w:rsidRDefault="006F15F9"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3BB81D34" w:rsidR="00092534" w:rsidRPr="00CF2E7C" w:rsidRDefault="007F0E0E" w:rsidP="00047077">
            <w:pPr>
              <w:jc w:val="both"/>
              <w:rPr>
                <w:rFonts w:ascii="Calibri" w:hAnsi="Calibri" w:cs="Calibri"/>
              </w:rPr>
            </w:pPr>
            <w:r w:rsidRPr="007F0E0E">
              <w:rPr>
                <w:rFonts w:ascii="Calibri" w:hAnsi="Calibri" w:cs="Calibri"/>
              </w:rPr>
              <w:t xml:space="preserve">The </w:t>
            </w:r>
            <w:r>
              <w:rPr>
                <w:rFonts w:ascii="Calibri" w:hAnsi="Calibri" w:cs="Calibri"/>
              </w:rPr>
              <w:t xml:space="preserve">GCP </w:t>
            </w:r>
            <w:r w:rsidRPr="007F0E0E">
              <w:rPr>
                <w:rFonts w:ascii="Calibri" w:hAnsi="Calibri" w:cs="Calibri"/>
              </w:rPr>
              <w:t>Rules, 2023 adopt a voluntary and non-discriminatory framework. Any person or entity may register and participate; participation is not mandatory. The Rules do not distinguish between public and private entities—once enrolled, all participants are subject to the same procedural requirements relating to registration, verification, issuance, and trading of Green Credits</w:t>
            </w:r>
            <w:r>
              <w:rPr>
                <w:rFonts w:ascii="Calibri" w:hAnsi="Calibri" w:cs="Calibri"/>
              </w:rPr>
              <w:t>.</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05A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FF1E6DF" w:rsidR="00092534" w:rsidRPr="00CF2E7C" w:rsidRDefault="00092534" w:rsidP="00047077">
            <w:pPr>
              <w:jc w:val="both"/>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592FB4EB"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lastRenderedPageBreak/>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54CFFD56"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1E70974B"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46701121" w:rsidR="00092534" w:rsidRPr="00CF2E7C" w:rsidRDefault="007F0E0E"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04B3574" w:rsidR="00092534" w:rsidRPr="00CF2E7C" w:rsidRDefault="007F0E0E" w:rsidP="007F0E0E">
            <w:pPr>
              <w:jc w:val="both"/>
              <w:rPr>
                <w:rFonts w:ascii="Calibri" w:hAnsi="Calibri" w:cs="Calibri"/>
              </w:rPr>
            </w:pPr>
            <w:r w:rsidRPr="007F0E0E">
              <w:rPr>
                <w:rFonts w:ascii="Calibri" w:hAnsi="Calibri" w:cs="Calibri"/>
              </w:rPr>
              <w:t xml:space="preserve">The </w:t>
            </w:r>
            <w:r>
              <w:rPr>
                <w:rFonts w:ascii="Calibri" w:hAnsi="Calibri" w:cs="Calibri"/>
              </w:rPr>
              <w:t xml:space="preserve">GCP </w:t>
            </w:r>
            <w:r w:rsidRPr="007F0E0E">
              <w:rPr>
                <w:rFonts w:ascii="Calibri" w:hAnsi="Calibri" w:cs="Calibri"/>
              </w:rPr>
              <w:t>Rules, 2023 were notified on October 12, 2023, and are presently in the initial phase of implementation. Institutional structures for administration, verification, and operation—such as the designation of agencies, development of electronic platforms, and issuance of methodologies—are currently being operationalised in accordance with the Rules.</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lastRenderedPageBreak/>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9D41944" w:rsidR="00092534" w:rsidRPr="00CF2E7C" w:rsidRDefault="00DA4E78"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04302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tcPr>
          <w:p w14:paraId="3518A101" w14:textId="52162C00"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04302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tcPr>
          <w:p w14:paraId="5840AB8D" w14:textId="37A2CC19"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04302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04302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tcPr>
          <w:p w14:paraId="61DE4191" w14:textId="7B7CBB96"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04302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tcPr>
          <w:p w14:paraId="7454F2D3" w14:textId="4D25AD55" w:rsidR="00D46B07" w:rsidRPr="00CF2E7C" w:rsidRDefault="000430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326D297" w:rsidR="00FD3587" w:rsidRPr="00CF2E7C" w:rsidRDefault="00043020" w:rsidP="00043020">
            <w:pPr>
              <w:jc w:val="both"/>
              <w:textAlignment w:val="baseline"/>
              <w:rPr>
                <w:rFonts w:ascii="Calibri" w:eastAsia="Times New Roman" w:hAnsi="Calibri" w:cs="Calibri"/>
                <w:kern w:val="0"/>
                <w:lang w:eastAsia="en-GB"/>
                <w14:ligatures w14:val="none"/>
              </w:rPr>
            </w:pPr>
            <w:r w:rsidRPr="00043020">
              <w:rPr>
                <w:rFonts w:ascii="Calibri" w:eastAsia="Times New Roman" w:hAnsi="Calibri" w:cs="Calibri"/>
                <w:kern w:val="0"/>
                <w:lang w:eastAsia="en-GB"/>
                <w14:ligatures w14:val="none"/>
              </w:rPr>
              <w:t>The GCP</w:t>
            </w:r>
            <w:r>
              <w:rPr>
                <w:rFonts w:ascii="Calibri" w:eastAsia="Times New Roman" w:hAnsi="Calibri" w:cs="Calibri"/>
                <w:kern w:val="0"/>
                <w:lang w:eastAsia="en-GB"/>
                <w14:ligatures w14:val="none"/>
              </w:rPr>
              <w:t xml:space="preserve"> </w:t>
            </w:r>
            <w:r w:rsidRPr="00043020">
              <w:rPr>
                <w:rFonts w:ascii="Calibri" w:eastAsia="Times New Roman" w:hAnsi="Calibri" w:cs="Calibri"/>
                <w:kern w:val="0"/>
                <w:lang w:eastAsia="en-GB"/>
                <w14:ligatures w14:val="none"/>
              </w:rPr>
              <w:t xml:space="preserve">establish a distinct voluntary environmental credit mechanism that is not linked to carbon crediting or GHG mitigation. Instead, the GCP introduces “green credits” as units issued to individuals or entities undertaking environmentally beneficial activities, such as tree plantation, water conservation, sustainable agriculture, biodiversity enhancement, and waste or air pollution management. These green credits are intended to incentivize positive environmental action, support sustainable development goals, and allow for trading or voluntary use (e.g., for ESG or CSR reporting), but they do not represent quantified GHG emission reductions and are not eligible for compliance or offset use under carbon markets. </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7DF1132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A0B29">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2D8F1B1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A0B29">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313B3B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F4953">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5E1BF08" w:rsidR="00D46B07" w:rsidRPr="00CF2E7C" w:rsidRDefault="003F49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0CEA5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220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01D19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2204">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B77F4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2204">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FAF90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2204">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01EA5A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2204">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20542AA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E2204">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063935" w14:textId="618E093A" w:rsidR="00C817A5" w:rsidRPr="00C817A5" w:rsidRDefault="00702413" w:rsidP="00047077">
            <w:pPr>
              <w:jc w:val="both"/>
              <w:textAlignment w:val="baseline"/>
              <w:rPr>
                <w:rFonts w:ascii="Calibri" w:eastAsia="Times New Roman" w:hAnsi="Calibri" w:cs="Calibri"/>
                <w:kern w:val="0"/>
                <w:lang w:val="en-IN" w:eastAsia="en-GB"/>
                <w14:ligatures w14:val="none"/>
              </w:rPr>
            </w:pPr>
            <w:r w:rsidRPr="00C817A5">
              <w:rPr>
                <w:rFonts w:ascii="Calibri" w:eastAsia="Times New Roman" w:hAnsi="Calibri" w:cs="Calibri"/>
                <w:kern w:val="0"/>
                <w:lang w:eastAsia="en-GB"/>
                <w14:ligatures w14:val="none"/>
              </w:rPr>
              <w:t> </w:t>
            </w:r>
            <w:r w:rsidR="00C817A5" w:rsidRPr="00C817A5">
              <w:rPr>
                <w:rFonts w:ascii="Calibri" w:eastAsia="Times New Roman" w:hAnsi="Calibri" w:cs="Calibri"/>
                <w:kern w:val="0"/>
                <w:lang w:val="en-IN" w:eastAsia="en-GB"/>
                <w14:ligatures w14:val="none"/>
              </w:rPr>
              <w:t xml:space="preserve">The policy tool </w:t>
            </w:r>
            <w:r w:rsidR="00C817A5" w:rsidRPr="00047077">
              <w:rPr>
                <w:rFonts w:ascii="Calibri" w:eastAsia="Times New Roman" w:hAnsi="Calibri" w:cs="Calibri"/>
                <w:kern w:val="0"/>
                <w:lang w:val="en-IN" w:eastAsia="en-GB"/>
                <w14:ligatures w14:val="none"/>
              </w:rPr>
              <w:t>requires use of a registry</w:t>
            </w:r>
            <w:r w:rsidR="00C817A5" w:rsidRPr="00C817A5">
              <w:rPr>
                <w:rFonts w:ascii="Calibri" w:eastAsia="Times New Roman" w:hAnsi="Calibri" w:cs="Calibri"/>
                <w:kern w:val="0"/>
                <w:lang w:val="en-IN" w:eastAsia="en-GB"/>
                <w14:ligatures w14:val="none"/>
              </w:rPr>
              <w:t xml:space="preserve"> named the </w:t>
            </w:r>
            <w:r w:rsidR="00C817A5" w:rsidRPr="00047077">
              <w:rPr>
                <w:rFonts w:ascii="Calibri" w:eastAsia="Times New Roman" w:hAnsi="Calibri" w:cs="Calibri"/>
                <w:kern w:val="0"/>
                <w:lang w:val="en-IN" w:eastAsia="en-GB"/>
                <w14:ligatures w14:val="none"/>
              </w:rPr>
              <w:t>Green Credit Registry</w:t>
            </w:r>
            <w:r w:rsidR="00C817A5" w:rsidRPr="00C817A5">
              <w:rPr>
                <w:rFonts w:ascii="Calibri" w:eastAsia="Times New Roman" w:hAnsi="Calibri" w:cs="Calibri"/>
                <w:kern w:val="0"/>
                <w:lang w:val="en-IN" w:eastAsia="en-GB"/>
                <w14:ligatures w14:val="none"/>
              </w:rPr>
              <w:t>, maintained by the Administrator (ICFRE), for the issuance, registration, and trading of green credits.</w:t>
            </w:r>
          </w:p>
          <w:p w14:paraId="38C2165D" w14:textId="2DCDA748"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227843B" w:rsidR="00343937" w:rsidRPr="00CF2E7C" w:rsidRDefault="00C81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3B7A7AD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625F119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0DE940A4" w:rsidR="00343937" w:rsidRPr="00CF2E7C" w:rsidRDefault="000430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457B83B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3E2EB80F" w:rsidR="00343937" w:rsidRPr="00CF2E7C" w:rsidRDefault="00343937" w:rsidP="00CF2E7C">
            <w:pPr>
              <w:textAlignment w:val="baseline"/>
              <w:rPr>
                <w:rFonts w:ascii="Calibri" w:eastAsia="Times New Roman" w:hAnsi="Calibri" w:cs="Calibri"/>
                <w:kern w:val="0"/>
                <w:lang w:eastAsia="en-GB"/>
                <w14:ligatures w14:val="none"/>
              </w:rPr>
            </w:pP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1B067F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43020">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017F5B9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4ECD256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61CEEFEC" w:rsidR="00343937" w:rsidRPr="00CF2E7C" w:rsidRDefault="000430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B9E69F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17A5">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977718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17A5">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5D2711">
            <w:pPr>
              <w:jc w:val="both"/>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B487AE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7494E">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4D0B9F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7494E">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0531DC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7494E">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2070026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7494E">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560CD87" w:rsidR="000A6F11" w:rsidRPr="00CF2E7C" w:rsidRDefault="00E749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5D1F604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1B6873A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CC0578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620D82B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4FB97D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234709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5BA6DF5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2F85DA7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356743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3E10C3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1C1216C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821A8">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0315FEC2" w:rsidR="00047A9C" w:rsidRPr="004A78A5" w:rsidRDefault="00043020" w:rsidP="00047077">
            <w:pPr>
              <w:jc w:val="both"/>
              <w:textAlignment w:val="baseline"/>
              <w:rPr>
                <w:rFonts w:ascii="Calibri" w:eastAsia="Times New Roman" w:hAnsi="Calibri" w:cs="Calibri"/>
                <w:kern w:val="0"/>
                <w:lang w:eastAsia="en-GB"/>
                <w14:ligatures w14:val="none"/>
              </w:rPr>
            </w:pPr>
            <w:r w:rsidRPr="00043020">
              <w:rPr>
                <w:rFonts w:ascii="Calibri" w:eastAsia="Times New Roman" w:hAnsi="Calibri" w:cs="Calibri"/>
                <w:kern w:val="0"/>
                <w:lang w:eastAsia="en-GB"/>
                <w14:ligatures w14:val="none"/>
              </w:rPr>
              <w:t xml:space="preserve">The policy tool mandates third-party certification. As per Rule 7(3)(d) of the </w:t>
            </w:r>
            <w:r>
              <w:rPr>
                <w:rFonts w:ascii="Calibri" w:eastAsia="Times New Roman" w:hAnsi="Calibri" w:cs="Calibri"/>
                <w:kern w:val="0"/>
                <w:lang w:eastAsia="en-GB"/>
                <w14:ligatures w14:val="none"/>
              </w:rPr>
              <w:t>GCP</w:t>
            </w:r>
            <w:r w:rsidRPr="00043020">
              <w:rPr>
                <w:rFonts w:ascii="Calibri" w:eastAsia="Times New Roman" w:hAnsi="Calibri" w:cs="Calibri"/>
                <w:kern w:val="0"/>
                <w:lang w:eastAsia="en-GB"/>
                <w14:ligatures w14:val="none"/>
              </w:rPr>
              <w:t xml:space="preserve">, the Administrator is required to develop guidelines for self-certification or third-party certification, including the empanelment of auditors and procedures for audit. Additionally, under Rule 13(2), </w:t>
            </w:r>
            <w:r w:rsidRPr="00043020">
              <w:rPr>
                <w:rFonts w:ascii="Calibri" w:eastAsia="Times New Roman" w:hAnsi="Calibri" w:cs="Calibri"/>
                <w:kern w:val="0"/>
                <w:lang w:eastAsia="en-GB"/>
                <w14:ligatures w14:val="none"/>
              </w:rPr>
              <w:lastRenderedPageBreak/>
              <w:t>Designated Agencies are obligated to verify the applicant’s activities in accordance with these guidelines and submit verification reports to the Administrator.</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2AAC6A8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A23D84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24254C3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B2987D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13CE3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035031D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3FDE62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4A9B821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02DDB2F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3F1EDE4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0C8505B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893528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30AC59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E839E7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5652E6A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5A7B6D8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1B1D36E4" w:rsidR="00DD694D" w:rsidRPr="00CF2E7C" w:rsidRDefault="00C47C3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FC5186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23733FF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5B8DAC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5BFE5B4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696D98F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00D5606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7C3E">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4B29330A" w:rsidR="00FE7FA5" w:rsidRPr="00CF2E7C" w:rsidRDefault="006541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17352A88" w:rsidR="00FE7FA5" w:rsidRPr="00CF2E7C" w:rsidRDefault="00784219" w:rsidP="00047077">
            <w:pPr>
              <w:jc w:val="both"/>
              <w:textAlignment w:val="baseline"/>
              <w:rPr>
                <w:rFonts w:ascii="Calibri" w:eastAsia="Times New Roman" w:hAnsi="Calibri" w:cs="Calibri"/>
                <w:kern w:val="0"/>
                <w:lang w:eastAsia="en-GB"/>
                <w14:ligatures w14:val="none"/>
              </w:rPr>
            </w:pPr>
            <w:r w:rsidRPr="00784219">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GCP</w:t>
            </w:r>
            <w:r w:rsidRPr="00784219">
              <w:rPr>
                <w:rFonts w:ascii="Calibri" w:eastAsia="Times New Roman" w:hAnsi="Calibri" w:cs="Calibri"/>
                <w:kern w:val="0"/>
                <w:lang w:eastAsia="en-GB"/>
                <w14:ligatures w14:val="none"/>
              </w:rPr>
              <w:t xml:space="preserve"> do not provide any guidance regarding the types of credits that can or should be used in the voluntary carbon market. The policy governs the issuance, trading, and use of "green credits" under a distinct, domestic framework, separate from carbon credit mechanisms, and does not prescribe criteria for voluntary carbon market credits.</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0AB462A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49EF049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25A2DD2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23C866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52FA5A9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3D80591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8E950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8DDB5A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394212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5BCE306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F04387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0FC76CD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96BCB4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41640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32C6C9E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24AC">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538639D"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784219">
            <w:pPr>
              <w:jc w:val="both"/>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6B42C4" w14:textId="76D466CF" w:rsidR="00784219" w:rsidRPr="00784219" w:rsidRDefault="00784219" w:rsidP="00784219">
            <w:pPr>
              <w:jc w:val="both"/>
              <w:textAlignment w:val="baseline"/>
              <w:rPr>
                <w:rFonts w:eastAsia="Times New Roman" w:cstheme="minorHAnsi"/>
                <w:kern w:val="0"/>
                <w:lang w:val="en-IN" w:eastAsia="en-GB"/>
                <w14:ligatures w14:val="none"/>
              </w:rPr>
            </w:pPr>
            <w:r w:rsidRPr="00784219">
              <w:rPr>
                <w:rFonts w:eastAsia="Times New Roman" w:cstheme="minorHAnsi"/>
                <w:kern w:val="0"/>
                <w:lang w:val="en-IN" w:eastAsia="en-GB"/>
                <w14:ligatures w14:val="none"/>
              </w:rPr>
              <w:t xml:space="preserve">The </w:t>
            </w:r>
            <w:r>
              <w:rPr>
                <w:rFonts w:eastAsia="Times New Roman" w:cstheme="minorHAnsi"/>
                <w:kern w:val="0"/>
                <w:lang w:val="en-IN" w:eastAsia="en-GB"/>
                <w14:ligatures w14:val="none"/>
              </w:rPr>
              <w:t>GCP</w:t>
            </w:r>
            <w:r w:rsidRPr="00784219">
              <w:rPr>
                <w:rFonts w:eastAsia="Times New Roman" w:cstheme="minorHAnsi"/>
                <w:kern w:val="0"/>
                <w:lang w:val="en-IN" w:eastAsia="en-GB"/>
                <w14:ligatures w14:val="none"/>
              </w:rPr>
              <w:t xml:space="preserve"> incorporate specific safeguards to ensure market integrity and transparency in the issuance and exchange of green credits:</w:t>
            </w:r>
          </w:p>
          <w:p w14:paraId="7EED0A21" w14:textId="77777777" w:rsidR="00784219" w:rsidRPr="00784219" w:rsidRDefault="00784219" w:rsidP="00784219">
            <w:pPr>
              <w:pStyle w:val="ListParagraph"/>
              <w:numPr>
                <w:ilvl w:val="0"/>
                <w:numId w:val="56"/>
              </w:numPr>
              <w:jc w:val="both"/>
              <w:textAlignment w:val="baseline"/>
              <w:rPr>
                <w:rFonts w:eastAsia="Times New Roman" w:cstheme="minorHAnsi"/>
                <w:kern w:val="0"/>
                <w:lang w:val="en-IN" w:eastAsia="en-GB"/>
                <w14:ligatures w14:val="none"/>
              </w:rPr>
            </w:pPr>
            <w:r w:rsidRPr="00784219">
              <w:rPr>
                <w:rFonts w:eastAsia="Times New Roman" w:cstheme="minorHAnsi"/>
                <w:kern w:val="0"/>
                <w:lang w:val="en-IN" w:eastAsia="en-GB"/>
                <w14:ligatures w14:val="none"/>
              </w:rPr>
              <w:t>Rule 7(3)(h) mandates the Administrator (ICFRE) to develop a market stability mechanism to support orderly trading of green credits.</w:t>
            </w:r>
          </w:p>
          <w:p w14:paraId="66AA8547" w14:textId="77777777" w:rsidR="00784219" w:rsidRPr="00784219" w:rsidRDefault="00784219" w:rsidP="00784219">
            <w:pPr>
              <w:pStyle w:val="ListParagraph"/>
              <w:numPr>
                <w:ilvl w:val="0"/>
                <w:numId w:val="56"/>
              </w:numPr>
              <w:jc w:val="both"/>
              <w:textAlignment w:val="baseline"/>
              <w:rPr>
                <w:rFonts w:eastAsia="Times New Roman" w:cstheme="minorHAnsi"/>
                <w:kern w:val="0"/>
                <w:lang w:val="en-IN" w:eastAsia="en-GB"/>
                <w14:ligatures w14:val="none"/>
              </w:rPr>
            </w:pPr>
            <w:r w:rsidRPr="00784219">
              <w:rPr>
                <w:rFonts w:eastAsia="Times New Roman" w:cstheme="minorHAnsi"/>
                <w:kern w:val="0"/>
                <w:lang w:val="en-IN" w:eastAsia="en-GB"/>
                <w14:ligatures w14:val="none"/>
              </w:rPr>
              <w:t>Rule 7(3)(i) requires the Administrator to regulate trading, protect the interests of buyers and sellers, and take preventive or corrective action to address fraud or misconduct.</w:t>
            </w:r>
          </w:p>
          <w:p w14:paraId="36C7E736" w14:textId="77777777" w:rsidR="00784219" w:rsidRPr="00784219" w:rsidRDefault="00784219" w:rsidP="00784219">
            <w:pPr>
              <w:pStyle w:val="ListParagraph"/>
              <w:numPr>
                <w:ilvl w:val="0"/>
                <w:numId w:val="56"/>
              </w:numPr>
              <w:jc w:val="both"/>
              <w:textAlignment w:val="baseline"/>
              <w:rPr>
                <w:rFonts w:eastAsia="Times New Roman" w:cstheme="minorHAnsi"/>
                <w:kern w:val="0"/>
                <w:lang w:val="en-IN" w:eastAsia="en-GB"/>
                <w14:ligatures w14:val="none"/>
              </w:rPr>
            </w:pPr>
            <w:r w:rsidRPr="00784219">
              <w:rPr>
                <w:rFonts w:eastAsia="Times New Roman" w:cstheme="minorHAnsi"/>
                <w:kern w:val="0"/>
                <w:lang w:val="en-IN" w:eastAsia="en-GB"/>
                <w14:ligatures w14:val="none"/>
              </w:rPr>
              <w:t>Rule 10(3)(b)–(c) entrusts the Green Credit Registry with ensuring accurate accounting and secure maintenance of transaction data.</w:t>
            </w:r>
          </w:p>
          <w:p w14:paraId="4656A85F" w14:textId="2CB786D2" w:rsidR="00392F82" w:rsidRPr="00784219" w:rsidRDefault="00392F82" w:rsidP="00CF2E7C">
            <w:pPr>
              <w:textAlignment w:val="baseline"/>
              <w:rPr>
                <w:rFonts w:eastAsia="Times New Roman" w:cstheme="minorHAnsi"/>
                <w:kern w:val="0"/>
                <w:lang w:val="en-IN"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05A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05A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0AC3F8" w14:textId="77777777" w:rsidR="004675F2" w:rsidRDefault="004675F2" w:rsidP="00874E39">
      <w:r>
        <w:separator/>
      </w:r>
    </w:p>
  </w:endnote>
  <w:endnote w:type="continuationSeparator" w:id="0">
    <w:p w14:paraId="0E7DAAF2" w14:textId="77777777" w:rsidR="004675F2" w:rsidRDefault="004675F2" w:rsidP="00874E39">
      <w:r>
        <w:continuationSeparator/>
      </w:r>
    </w:p>
  </w:endnote>
  <w:endnote w:type="continuationNotice" w:id="1">
    <w:p w14:paraId="3EF554E7" w14:textId="77777777" w:rsidR="004675F2" w:rsidRDefault="004675F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9A5651" w14:textId="77777777" w:rsidR="004675F2" w:rsidRDefault="004675F2" w:rsidP="00874E39">
      <w:r>
        <w:separator/>
      </w:r>
    </w:p>
  </w:footnote>
  <w:footnote w:type="continuationSeparator" w:id="0">
    <w:p w14:paraId="58709EE6" w14:textId="77777777" w:rsidR="004675F2" w:rsidRDefault="004675F2" w:rsidP="00874E39">
      <w:r>
        <w:continuationSeparator/>
      </w:r>
    </w:p>
  </w:footnote>
  <w:footnote w:type="continuationNotice" w:id="1">
    <w:p w14:paraId="773F3C8D" w14:textId="77777777" w:rsidR="004675F2" w:rsidRDefault="004675F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920B13"/>
    <w:multiLevelType w:val="hybridMultilevel"/>
    <w:tmpl w:val="0770973C"/>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6F03753"/>
    <w:multiLevelType w:val="multilevel"/>
    <w:tmpl w:val="6D74807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A7236E5"/>
    <w:multiLevelType w:val="hybridMultilevel"/>
    <w:tmpl w:val="5316D8F6"/>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4413467"/>
    <w:multiLevelType w:val="hybridMultilevel"/>
    <w:tmpl w:val="580E64B8"/>
    <w:lvl w:ilvl="0" w:tplc="40090017">
      <w:start w:val="1"/>
      <w:numFmt w:val="lowerLetter"/>
      <w:lvlText w:val="%1)"/>
      <w:lvlJc w:val="left"/>
      <w:pPr>
        <w:ind w:left="720" w:hanging="360"/>
      </w:pPr>
      <w:rPr>
        <w:rFonts w:hint="default"/>
      </w:rPr>
    </w:lvl>
    <w:lvl w:ilvl="1" w:tplc="4380E3FC">
      <w:start w:val="1"/>
      <w:numFmt w:val="bullet"/>
      <w:lvlText w:val="o"/>
      <w:lvlJc w:val="left"/>
      <w:pPr>
        <w:ind w:left="1440" w:hanging="360"/>
      </w:pPr>
      <w:rPr>
        <w:rFonts w:ascii="Courier New" w:hAnsi="Courier New" w:hint="default"/>
      </w:rPr>
    </w:lvl>
    <w:lvl w:ilvl="2" w:tplc="D992359E">
      <w:start w:val="1"/>
      <w:numFmt w:val="bullet"/>
      <w:lvlText w:val=""/>
      <w:lvlJc w:val="left"/>
      <w:pPr>
        <w:ind w:left="2160" w:hanging="360"/>
      </w:pPr>
      <w:rPr>
        <w:rFonts w:ascii="Wingdings" w:hAnsi="Wingdings" w:hint="default"/>
      </w:rPr>
    </w:lvl>
    <w:lvl w:ilvl="3" w:tplc="3ED283CA">
      <w:start w:val="1"/>
      <w:numFmt w:val="bullet"/>
      <w:lvlText w:val=""/>
      <w:lvlJc w:val="left"/>
      <w:pPr>
        <w:ind w:left="2880" w:hanging="360"/>
      </w:pPr>
      <w:rPr>
        <w:rFonts w:ascii="Symbol" w:hAnsi="Symbol" w:hint="default"/>
      </w:rPr>
    </w:lvl>
    <w:lvl w:ilvl="4" w:tplc="819A6FC0">
      <w:start w:val="1"/>
      <w:numFmt w:val="bullet"/>
      <w:lvlText w:val="o"/>
      <w:lvlJc w:val="left"/>
      <w:pPr>
        <w:ind w:left="3600" w:hanging="360"/>
      </w:pPr>
      <w:rPr>
        <w:rFonts w:ascii="Courier New" w:hAnsi="Courier New" w:hint="default"/>
      </w:rPr>
    </w:lvl>
    <w:lvl w:ilvl="5" w:tplc="B9F0AC6E">
      <w:start w:val="1"/>
      <w:numFmt w:val="bullet"/>
      <w:lvlText w:val=""/>
      <w:lvlJc w:val="left"/>
      <w:pPr>
        <w:ind w:left="4320" w:hanging="360"/>
      </w:pPr>
      <w:rPr>
        <w:rFonts w:ascii="Wingdings" w:hAnsi="Wingdings" w:hint="default"/>
      </w:rPr>
    </w:lvl>
    <w:lvl w:ilvl="6" w:tplc="65D8A854">
      <w:start w:val="1"/>
      <w:numFmt w:val="bullet"/>
      <w:lvlText w:val=""/>
      <w:lvlJc w:val="left"/>
      <w:pPr>
        <w:ind w:left="5040" w:hanging="360"/>
      </w:pPr>
      <w:rPr>
        <w:rFonts w:ascii="Symbol" w:hAnsi="Symbol" w:hint="default"/>
      </w:rPr>
    </w:lvl>
    <w:lvl w:ilvl="7" w:tplc="4A58974A">
      <w:start w:val="1"/>
      <w:numFmt w:val="bullet"/>
      <w:lvlText w:val="o"/>
      <w:lvlJc w:val="left"/>
      <w:pPr>
        <w:ind w:left="5760" w:hanging="360"/>
      </w:pPr>
      <w:rPr>
        <w:rFonts w:ascii="Courier New" w:hAnsi="Courier New" w:hint="default"/>
      </w:rPr>
    </w:lvl>
    <w:lvl w:ilvl="8" w:tplc="8C46D3BE">
      <w:start w:val="1"/>
      <w:numFmt w:val="bullet"/>
      <w:lvlText w:val=""/>
      <w:lvlJc w:val="left"/>
      <w:pPr>
        <w:ind w:left="6480" w:hanging="360"/>
      </w:pPr>
      <w:rPr>
        <w:rFonts w:ascii="Wingdings" w:hAnsi="Wingdings" w:hint="default"/>
      </w:r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7677589"/>
    <w:multiLevelType w:val="multilevel"/>
    <w:tmpl w:val="3F58A59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4F5D5F3B"/>
    <w:multiLevelType w:val="multilevel"/>
    <w:tmpl w:val="8A820F80"/>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11C0746"/>
    <w:multiLevelType w:val="multilevel"/>
    <w:tmpl w:val="8F040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1F51F22"/>
    <w:multiLevelType w:val="multilevel"/>
    <w:tmpl w:val="4384A6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7"/>
  </w:num>
  <w:num w:numId="3" w16cid:durableId="690952733">
    <w:abstractNumId w:val="47"/>
  </w:num>
  <w:num w:numId="4" w16cid:durableId="1689330127">
    <w:abstractNumId w:val="1"/>
  </w:num>
  <w:num w:numId="5" w16cid:durableId="401291788">
    <w:abstractNumId w:val="33"/>
  </w:num>
  <w:num w:numId="6" w16cid:durableId="1276788690">
    <w:abstractNumId w:val="17"/>
  </w:num>
  <w:num w:numId="7" w16cid:durableId="566767730">
    <w:abstractNumId w:val="24"/>
  </w:num>
  <w:num w:numId="8" w16cid:durableId="1780710843">
    <w:abstractNumId w:val="40"/>
  </w:num>
  <w:num w:numId="9" w16cid:durableId="1685783054">
    <w:abstractNumId w:val="4"/>
  </w:num>
  <w:num w:numId="10" w16cid:durableId="950551298">
    <w:abstractNumId w:val="36"/>
  </w:num>
  <w:num w:numId="11" w16cid:durableId="1591960799">
    <w:abstractNumId w:val="55"/>
  </w:num>
  <w:num w:numId="12" w16cid:durableId="1344891410">
    <w:abstractNumId w:val="12"/>
  </w:num>
  <w:num w:numId="13" w16cid:durableId="2023899324">
    <w:abstractNumId w:val="14"/>
  </w:num>
  <w:num w:numId="14" w16cid:durableId="430587014">
    <w:abstractNumId w:val="8"/>
  </w:num>
  <w:num w:numId="15" w16cid:durableId="1742869061">
    <w:abstractNumId w:val="35"/>
  </w:num>
  <w:num w:numId="16" w16cid:durableId="1996450437">
    <w:abstractNumId w:val="23"/>
  </w:num>
  <w:num w:numId="17" w16cid:durableId="1529031027">
    <w:abstractNumId w:val="10"/>
  </w:num>
  <w:num w:numId="18" w16cid:durableId="568614617">
    <w:abstractNumId w:val="21"/>
  </w:num>
  <w:num w:numId="19" w16cid:durableId="1530605858">
    <w:abstractNumId w:val="48"/>
  </w:num>
  <w:num w:numId="20" w16cid:durableId="1328172586">
    <w:abstractNumId w:val="19"/>
  </w:num>
  <w:num w:numId="21" w16cid:durableId="184827816">
    <w:abstractNumId w:val="32"/>
  </w:num>
  <w:num w:numId="22" w16cid:durableId="1785346599">
    <w:abstractNumId w:val="39"/>
  </w:num>
  <w:num w:numId="23" w16cid:durableId="1294288901">
    <w:abstractNumId w:val="30"/>
  </w:num>
  <w:num w:numId="24" w16cid:durableId="1603957975">
    <w:abstractNumId w:val="50"/>
  </w:num>
  <w:num w:numId="25" w16cid:durableId="1659531047">
    <w:abstractNumId w:val="49"/>
  </w:num>
  <w:num w:numId="26" w16cid:durableId="752774403">
    <w:abstractNumId w:val="26"/>
  </w:num>
  <w:num w:numId="27" w16cid:durableId="347872198">
    <w:abstractNumId w:val="7"/>
  </w:num>
  <w:num w:numId="28" w16cid:durableId="537133110">
    <w:abstractNumId w:val="16"/>
  </w:num>
  <w:num w:numId="29" w16cid:durableId="1632318729">
    <w:abstractNumId w:val="51"/>
  </w:num>
  <w:num w:numId="30" w16cid:durableId="1268124074">
    <w:abstractNumId w:val="37"/>
  </w:num>
  <w:num w:numId="31" w16cid:durableId="887108748">
    <w:abstractNumId w:val="34"/>
  </w:num>
  <w:num w:numId="32" w16cid:durableId="1826125712">
    <w:abstractNumId w:val="41"/>
  </w:num>
  <w:num w:numId="33" w16cid:durableId="823357978">
    <w:abstractNumId w:val="45"/>
  </w:num>
  <w:num w:numId="34" w16cid:durableId="1092120443">
    <w:abstractNumId w:val="44"/>
  </w:num>
  <w:num w:numId="35" w16cid:durableId="124861188">
    <w:abstractNumId w:val="13"/>
  </w:num>
  <w:num w:numId="36" w16cid:durableId="1952588250">
    <w:abstractNumId w:val="43"/>
  </w:num>
  <w:num w:numId="37" w16cid:durableId="1712027211">
    <w:abstractNumId w:val="5"/>
  </w:num>
  <w:num w:numId="38" w16cid:durableId="2033795929">
    <w:abstractNumId w:val="2"/>
  </w:num>
  <w:num w:numId="39" w16cid:durableId="1238595582">
    <w:abstractNumId w:val="28"/>
  </w:num>
  <w:num w:numId="40" w16cid:durableId="416558262">
    <w:abstractNumId w:val="25"/>
  </w:num>
  <w:num w:numId="41" w16cid:durableId="1543715517">
    <w:abstractNumId w:val="22"/>
  </w:num>
  <w:num w:numId="42" w16cid:durableId="452208391">
    <w:abstractNumId w:val="18"/>
  </w:num>
  <w:num w:numId="43" w16cid:durableId="260340070">
    <w:abstractNumId w:val="0"/>
  </w:num>
  <w:num w:numId="44" w16cid:durableId="1639914969">
    <w:abstractNumId w:val="6"/>
  </w:num>
  <w:num w:numId="45" w16cid:durableId="1554191892">
    <w:abstractNumId w:val="46"/>
  </w:num>
  <w:num w:numId="46" w16cid:durableId="947811845">
    <w:abstractNumId w:val="54"/>
  </w:num>
  <w:num w:numId="47" w16cid:durableId="342588554">
    <w:abstractNumId w:val="29"/>
  </w:num>
  <w:num w:numId="48" w16cid:durableId="318391343">
    <w:abstractNumId w:val="42"/>
  </w:num>
  <w:num w:numId="49" w16cid:durableId="1860198246">
    <w:abstractNumId w:val="15"/>
  </w:num>
  <w:num w:numId="50" w16cid:durableId="1800612735">
    <w:abstractNumId w:val="53"/>
  </w:num>
  <w:num w:numId="51" w16cid:durableId="2000190549">
    <w:abstractNumId w:val="9"/>
  </w:num>
  <w:num w:numId="52" w16cid:durableId="258299093">
    <w:abstractNumId w:val="31"/>
  </w:num>
  <w:num w:numId="53" w16cid:durableId="1746028306">
    <w:abstractNumId w:val="38"/>
  </w:num>
  <w:num w:numId="54" w16cid:durableId="160201617">
    <w:abstractNumId w:val="52"/>
  </w:num>
  <w:num w:numId="55" w16cid:durableId="1799761432">
    <w:abstractNumId w:val="11"/>
  </w:num>
  <w:num w:numId="56" w16cid:durableId="333917346">
    <w:abstractNumId w:val="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422"/>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020"/>
    <w:rsid w:val="000449A7"/>
    <w:rsid w:val="000463AE"/>
    <w:rsid w:val="00046B6B"/>
    <w:rsid w:val="00047077"/>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909"/>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1E"/>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9CA"/>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4694"/>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EAA"/>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CB1"/>
    <w:rsid w:val="00277FC5"/>
    <w:rsid w:val="00284ADD"/>
    <w:rsid w:val="00285DA7"/>
    <w:rsid w:val="00286683"/>
    <w:rsid w:val="00286FE0"/>
    <w:rsid w:val="002878A1"/>
    <w:rsid w:val="00287FA9"/>
    <w:rsid w:val="002912CD"/>
    <w:rsid w:val="00295770"/>
    <w:rsid w:val="00295DDD"/>
    <w:rsid w:val="00296362"/>
    <w:rsid w:val="002968A6"/>
    <w:rsid w:val="00296D90"/>
    <w:rsid w:val="0029703E"/>
    <w:rsid w:val="002A0239"/>
    <w:rsid w:val="002A1860"/>
    <w:rsid w:val="002A1997"/>
    <w:rsid w:val="002A237B"/>
    <w:rsid w:val="002A2EF3"/>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530"/>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2204"/>
    <w:rsid w:val="003E38C7"/>
    <w:rsid w:val="003E43FE"/>
    <w:rsid w:val="003E7DD6"/>
    <w:rsid w:val="003F1282"/>
    <w:rsid w:val="003F1C8E"/>
    <w:rsid w:val="003F1E87"/>
    <w:rsid w:val="003F256E"/>
    <w:rsid w:val="003F2B00"/>
    <w:rsid w:val="003F2E77"/>
    <w:rsid w:val="003F338D"/>
    <w:rsid w:val="003F39C3"/>
    <w:rsid w:val="003F4908"/>
    <w:rsid w:val="003F4953"/>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5F2"/>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4EE0"/>
    <w:rsid w:val="004A54B3"/>
    <w:rsid w:val="004A6D34"/>
    <w:rsid w:val="004A7899"/>
    <w:rsid w:val="004A78A5"/>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24AC"/>
    <w:rsid w:val="00563224"/>
    <w:rsid w:val="00563432"/>
    <w:rsid w:val="00566FDB"/>
    <w:rsid w:val="005673C8"/>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1496"/>
    <w:rsid w:val="005D2711"/>
    <w:rsid w:val="005D540D"/>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5A34"/>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167"/>
    <w:rsid w:val="00654950"/>
    <w:rsid w:val="00655BD9"/>
    <w:rsid w:val="00655FF7"/>
    <w:rsid w:val="0065600D"/>
    <w:rsid w:val="006561EB"/>
    <w:rsid w:val="006562BF"/>
    <w:rsid w:val="00656A7C"/>
    <w:rsid w:val="0066041A"/>
    <w:rsid w:val="006621B6"/>
    <w:rsid w:val="00662657"/>
    <w:rsid w:val="006636CE"/>
    <w:rsid w:val="00663D94"/>
    <w:rsid w:val="00664677"/>
    <w:rsid w:val="00665D05"/>
    <w:rsid w:val="00666CB6"/>
    <w:rsid w:val="00671EA4"/>
    <w:rsid w:val="006736BC"/>
    <w:rsid w:val="006746D5"/>
    <w:rsid w:val="0067532A"/>
    <w:rsid w:val="00675752"/>
    <w:rsid w:val="006770B7"/>
    <w:rsid w:val="006801E4"/>
    <w:rsid w:val="00680329"/>
    <w:rsid w:val="00683A9D"/>
    <w:rsid w:val="00683DB5"/>
    <w:rsid w:val="00685A4F"/>
    <w:rsid w:val="006878AC"/>
    <w:rsid w:val="00690B2A"/>
    <w:rsid w:val="00692658"/>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5F9"/>
    <w:rsid w:val="006F2FC8"/>
    <w:rsid w:val="006F344F"/>
    <w:rsid w:val="006F3CBF"/>
    <w:rsid w:val="006F4951"/>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21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3BB"/>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0E0E"/>
    <w:rsid w:val="007F1507"/>
    <w:rsid w:val="007F3F56"/>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2FA"/>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0CF2"/>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4E1"/>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544"/>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679"/>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2D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29D5"/>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B29"/>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586E"/>
    <w:rsid w:val="00BD6932"/>
    <w:rsid w:val="00BD6D24"/>
    <w:rsid w:val="00BE0198"/>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C3E"/>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5E87"/>
    <w:rsid w:val="00C76B74"/>
    <w:rsid w:val="00C8027A"/>
    <w:rsid w:val="00C817A5"/>
    <w:rsid w:val="00C81DE5"/>
    <w:rsid w:val="00C821A8"/>
    <w:rsid w:val="00C82860"/>
    <w:rsid w:val="00C837C9"/>
    <w:rsid w:val="00C8396C"/>
    <w:rsid w:val="00C84F1D"/>
    <w:rsid w:val="00C85DD9"/>
    <w:rsid w:val="00C85F5A"/>
    <w:rsid w:val="00C8618D"/>
    <w:rsid w:val="00C86ADF"/>
    <w:rsid w:val="00C870C0"/>
    <w:rsid w:val="00C92B1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3AE"/>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55F"/>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E78"/>
    <w:rsid w:val="00DA63F5"/>
    <w:rsid w:val="00DA6F09"/>
    <w:rsid w:val="00DA7A9F"/>
    <w:rsid w:val="00DB02EB"/>
    <w:rsid w:val="00DB1960"/>
    <w:rsid w:val="00DB1E72"/>
    <w:rsid w:val="00DB2C4B"/>
    <w:rsid w:val="00DB2CAA"/>
    <w:rsid w:val="00DB471F"/>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1DA5"/>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4EAE"/>
    <w:rsid w:val="00E65D70"/>
    <w:rsid w:val="00E6706E"/>
    <w:rsid w:val="00E67095"/>
    <w:rsid w:val="00E67A04"/>
    <w:rsid w:val="00E70A6A"/>
    <w:rsid w:val="00E71E7C"/>
    <w:rsid w:val="00E727D2"/>
    <w:rsid w:val="00E73270"/>
    <w:rsid w:val="00E7355A"/>
    <w:rsid w:val="00E73663"/>
    <w:rsid w:val="00E738CA"/>
    <w:rsid w:val="00E7486E"/>
    <w:rsid w:val="00E7494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4B67"/>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B3D"/>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C817A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7623270">
      <w:bodyDiv w:val="1"/>
      <w:marLeft w:val="0"/>
      <w:marRight w:val="0"/>
      <w:marTop w:val="0"/>
      <w:marBottom w:val="0"/>
      <w:divBdr>
        <w:top w:val="none" w:sz="0" w:space="0" w:color="auto"/>
        <w:left w:val="none" w:sz="0" w:space="0" w:color="auto"/>
        <w:bottom w:val="none" w:sz="0" w:space="0" w:color="auto"/>
        <w:right w:val="none" w:sz="0" w:space="0" w:color="auto"/>
      </w:divBdr>
    </w:div>
    <w:div w:id="54232513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0094550">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7877939">
      <w:bodyDiv w:val="1"/>
      <w:marLeft w:val="0"/>
      <w:marRight w:val="0"/>
      <w:marTop w:val="0"/>
      <w:marBottom w:val="0"/>
      <w:divBdr>
        <w:top w:val="none" w:sz="0" w:space="0" w:color="auto"/>
        <w:left w:val="none" w:sz="0" w:space="0" w:color="auto"/>
        <w:bottom w:val="none" w:sz="0" w:space="0" w:color="auto"/>
        <w:right w:val="none" w:sz="0" w:space="0" w:color="auto"/>
      </w:divBdr>
    </w:div>
    <w:div w:id="72714677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1403">
      <w:bodyDiv w:val="1"/>
      <w:marLeft w:val="0"/>
      <w:marRight w:val="0"/>
      <w:marTop w:val="0"/>
      <w:marBottom w:val="0"/>
      <w:divBdr>
        <w:top w:val="none" w:sz="0" w:space="0" w:color="auto"/>
        <w:left w:val="none" w:sz="0" w:space="0" w:color="auto"/>
        <w:bottom w:val="none" w:sz="0" w:space="0" w:color="auto"/>
        <w:right w:val="none" w:sz="0" w:space="0" w:color="auto"/>
      </w:divBdr>
    </w:div>
    <w:div w:id="898127501">
      <w:bodyDiv w:val="1"/>
      <w:marLeft w:val="0"/>
      <w:marRight w:val="0"/>
      <w:marTop w:val="0"/>
      <w:marBottom w:val="0"/>
      <w:divBdr>
        <w:top w:val="none" w:sz="0" w:space="0" w:color="auto"/>
        <w:left w:val="none" w:sz="0" w:space="0" w:color="auto"/>
        <w:bottom w:val="none" w:sz="0" w:space="0" w:color="auto"/>
        <w:right w:val="none" w:sz="0" w:space="0" w:color="auto"/>
      </w:divBdr>
    </w:div>
    <w:div w:id="975570676">
      <w:bodyDiv w:val="1"/>
      <w:marLeft w:val="0"/>
      <w:marRight w:val="0"/>
      <w:marTop w:val="0"/>
      <w:marBottom w:val="0"/>
      <w:divBdr>
        <w:top w:val="none" w:sz="0" w:space="0" w:color="auto"/>
        <w:left w:val="none" w:sz="0" w:space="0" w:color="auto"/>
        <w:bottom w:val="none" w:sz="0" w:space="0" w:color="auto"/>
        <w:right w:val="none" w:sz="0" w:space="0" w:color="auto"/>
      </w:divBdr>
    </w:div>
    <w:div w:id="1014576389">
      <w:bodyDiv w:val="1"/>
      <w:marLeft w:val="0"/>
      <w:marRight w:val="0"/>
      <w:marTop w:val="0"/>
      <w:marBottom w:val="0"/>
      <w:divBdr>
        <w:top w:val="none" w:sz="0" w:space="0" w:color="auto"/>
        <w:left w:val="none" w:sz="0" w:space="0" w:color="auto"/>
        <w:bottom w:val="none" w:sz="0" w:space="0" w:color="auto"/>
        <w:right w:val="none" w:sz="0" w:space="0" w:color="auto"/>
      </w:divBdr>
    </w:div>
    <w:div w:id="119349507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530019">
      <w:bodyDiv w:val="1"/>
      <w:marLeft w:val="0"/>
      <w:marRight w:val="0"/>
      <w:marTop w:val="0"/>
      <w:marBottom w:val="0"/>
      <w:divBdr>
        <w:top w:val="none" w:sz="0" w:space="0" w:color="auto"/>
        <w:left w:val="none" w:sz="0" w:space="0" w:color="auto"/>
        <w:bottom w:val="none" w:sz="0" w:space="0" w:color="auto"/>
        <w:right w:val="none" w:sz="0" w:space="0" w:color="auto"/>
      </w:divBdr>
    </w:div>
    <w:div w:id="1384863217">
      <w:bodyDiv w:val="1"/>
      <w:marLeft w:val="0"/>
      <w:marRight w:val="0"/>
      <w:marTop w:val="0"/>
      <w:marBottom w:val="0"/>
      <w:divBdr>
        <w:top w:val="none" w:sz="0" w:space="0" w:color="auto"/>
        <w:left w:val="none" w:sz="0" w:space="0" w:color="auto"/>
        <w:bottom w:val="none" w:sz="0" w:space="0" w:color="auto"/>
        <w:right w:val="none" w:sz="0" w:space="0" w:color="auto"/>
      </w:divBdr>
    </w:div>
    <w:div w:id="1740518996">
      <w:bodyDiv w:val="1"/>
      <w:marLeft w:val="0"/>
      <w:marRight w:val="0"/>
      <w:marTop w:val="0"/>
      <w:marBottom w:val="0"/>
      <w:divBdr>
        <w:top w:val="none" w:sz="0" w:space="0" w:color="auto"/>
        <w:left w:val="none" w:sz="0" w:space="0" w:color="auto"/>
        <w:bottom w:val="none" w:sz="0" w:space="0" w:color="auto"/>
        <w:right w:val="none" w:sz="0" w:space="0" w:color="auto"/>
      </w:divBdr>
    </w:div>
    <w:div w:id="175940299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3467870">
      <w:bodyDiv w:val="1"/>
      <w:marLeft w:val="0"/>
      <w:marRight w:val="0"/>
      <w:marTop w:val="0"/>
      <w:marBottom w:val="0"/>
      <w:divBdr>
        <w:top w:val="none" w:sz="0" w:space="0" w:color="auto"/>
        <w:left w:val="none" w:sz="0" w:space="0" w:color="auto"/>
        <w:bottom w:val="none" w:sz="0" w:space="0" w:color="auto"/>
        <w:right w:val="none" w:sz="0" w:space="0" w:color="auto"/>
      </w:divBdr>
    </w:div>
    <w:div w:id="1856112980">
      <w:bodyDiv w:val="1"/>
      <w:marLeft w:val="0"/>
      <w:marRight w:val="0"/>
      <w:marTop w:val="0"/>
      <w:marBottom w:val="0"/>
      <w:divBdr>
        <w:top w:val="none" w:sz="0" w:space="0" w:color="auto"/>
        <w:left w:val="none" w:sz="0" w:space="0" w:color="auto"/>
        <w:bottom w:val="none" w:sz="0" w:space="0" w:color="auto"/>
        <w:right w:val="none" w:sz="0" w:space="0" w:color="auto"/>
      </w:divBdr>
    </w:div>
    <w:div w:id="1861698382">
      <w:bodyDiv w:val="1"/>
      <w:marLeft w:val="0"/>
      <w:marRight w:val="0"/>
      <w:marTop w:val="0"/>
      <w:marBottom w:val="0"/>
      <w:divBdr>
        <w:top w:val="none" w:sz="0" w:space="0" w:color="auto"/>
        <w:left w:val="none" w:sz="0" w:space="0" w:color="auto"/>
        <w:bottom w:val="none" w:sz="0" w:space="0" w:color="auto"/>
        <w:right w:val="none" w:sz="0" w:space="0" w:color="auto"/>
      </w:divBdr>
    </w:div>
    <w:div w:id="195370393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23914/https://www.moefcc-gcp.in/about/notification"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03753/https://egazette.gov.in/WriteReadData/2023/249377.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64</Pages>
  <Words>22788</Words>
  <Characters>129894</Characters>
  <Application>Microsoft Office Word</Application>
  <DocSecurity>0</DocSecurity>
  <Lines>1082</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8</cp:revision>
  <cp:lastPrinted>2025-03-21T00:14:00Z</cp:lastPrinted>
  <dcterms:created xsi:type="dcterms:W3CDTF">2025-07-07T21:05:00Z</dcterms:created>
  <dcterms:modified xsi:type="dcterms:W3CDTF">2025-07-08T16:13:00Z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